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4EFE" w14:textId="77777777" w:rsidR="00FE067E" w:rsidRPr="004A0EED" w:rsidRDefault="003C6034" w:rsidP="00CC1F3B">
      <w:pPr>
        <w:pStyle w:val="TitlePageOrigin"/>
        <w:rPr>
          <w:color w:val="auto"/>
        </w:rPr>
      </w:pPr>
      <w:r w:rsidRPr="004A0EED">
        <w:rPr>
          <w:caps w:val="0"/>
          <w:color w:val="auto"/>
        </w:rPr>
        <w:t>WEST VIRGINIA LEGISLATURE</w:t>
      </w:r>
    </w:p>
    <w:p w14:paraId="28481328" w14:textId="45C4EF90" w:rsidR="00CD36CF" w:rsidRPr="004A0EED" w:rsidRDefault="00224CA1" w:rsidP="00224CA1">
      <w:pPr>
        <w:pStyle w:val="TitlePageSession"/>
        <w:tabs>
          <w:tab w:val="center" w:pos="4680"/>
          <w:tab w:val="right" w:pos="9360"/>
        </w:tabs>
        <w:jc w:val="left"/>
        <w:rPr>
          <w:color w:val="auto"/>
        </w:rPr>
      </w:pPr>
      <w:r w:rsidRPr="004A0EED">
        <w:rPr>
          <w:color w:val="auto"/>
        </w:rPr>
        <w:tab/>
      </w:r>
      <w:r w:rsidR="00CD36CF" w:rsidRPr="004A0EED">
        <w:rPr>
          <w:color w:val="auto"/>
        </w:rPr>
        <w:t>20</w:t>
      </w:r>
      <w:r w:rsidR="00EC5E63" w:rsidRPr="004A0EED">
        <w:rPr>
          <w:color w:val="auto"/>
        </w:rPr>
        <w:t>2</w:t>
      </w:r>
      <w:r w:rsidR="0020151F" w:rsidRPr="004A0EED">
        <w:rPr>
          <w:color w:val="auto"/>
        </w:rPr>
        <w:t>6</w:t>
      </w:r>
      <w:r w:rsidR="00CD36CF" w:rsidRPr="004A0EED">
        <w:rPr>
          <w:color w:val="auto"/>
        </w:rPr>
        <w:t xml:space="preserve"> </w:t>
      </w:r>
      <w:r w:rsidR="003C6034" w:rsidRPr="004A0EED">
        <w:rPr>
          <w:caps w:val="0"/>
          <w:color w:val="auto"/>
        </w:rPr>
        <w:t>REGULAR SESSION</w:t>
      </w:r>
      <w:r w:rsidRPr="004A0EED">
        <w:rPr>
          <w:caps w:val="0"/>
          <w:color w:val="auto"/>
        </w:rPr>
        <w:tab/>
      </w:r>
      <w:r w:rsidRPr="004A0EED">
        <w:rPr>
          <w:noProof/>
          <w:color w:val="auto"/>
        </w:rPr>
        <mc:AlternateContent>
          <mc:Choice Requires="wps">
            <w:drawing>
              <wp:anchor distT="0" distB="0" distL="114300" distR="114300" simplePos="0" relativeHeight="251659264" behindDoc="0" locked="0" layoutInCell="1" allowOverlap="1" wp14:anchorId="2F27523D" wp14:editId="4E627154">
                <wp:simplePos x="0" y="0"/>
                <wp:positionH relativeFrom="column">
                  <wp:posOffset>6007100</wp:posOffset>
                </wp:positionH>
                <wp:positionV relativeFrom="paragraph">
                  <wp:posOffset>1617980</wp:posOffset>
                </wp:positionV>
                <wp:extent cx="635000" cy="476250"/>
                <wp:effectExtent l="0" t="0" r="12700" b="19050"/>
                <wp:wrapNone/>
                <wp:docPr id="1074158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3700AB" w14:textId="4F19E169" w:rsidR="00224CA1" w:rsidRPr="00224CA1" w:rsidRDefault="00224CA1" w:rsidP="00224CA1">
                            <w:pPr>
                              <w:spacing w:line="240" w:lineRule="auto"/>
                              <w:jc w:val="center"/>
                              <w:rPr>
                                <w:rFonts w:cs="Arial"/>
                                <w:b/>
                              </w:rPr>
                            </w:pPr>
                            <w:r w:rsidRPr="00224C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7523D"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23700AB" w14:textId="4F19E169" w:rsidR="00224CA1" w:rsidRPr="00224CA1" w:rsidRDefault="00224CA1" w:rsidP="00224CA1">
                      <w:pPr>
                        <w:spacing w:line="240" w:lineRule="auto"/>
                        <w:jc w:val="center"/>
                        <w:rPr>
                          <w:rFonts w:cs="Arial"/>
                          <w:b/>
                        </w:rPr>
                      </w:pPr>
                      <w:r w:rsidRPr="00224CA1">
                        <w:rPr>
                          <w:rFonts w:cs="Arial"/>
                          <w:b/>
                        </w:rPr>
                        <w:t>FISCAL NOTE</w:t>
                      </w:r>
                    </w:p>
                  </w:txbxContent>
                </v:textbox>
              </v:shape>
            </w:pict>
          </mc:Fallback>
        </mc:AlternateContent>
      </w:r>
    </w:p>
    <w:p w14:paraId="7013B7CD" w14:textId="77777777" w:rsidR="00CD36CF" w:rsidRPr="004A0EED" w:rsidRDefault="00F9681C" w:rsidP="00CC1F3B">
      <w:pPr>
        <w:pStyle w:val="TitlePageBillPrefix"/>
        <w:rPr>
          <w:color w:val="auto"/>
        </w:rPr>
      </w:pPr>
      <w:sdt>
        <w:sdtPr>
          <w:rPr>
            <w:color w:val="auto"/>
          </w:rPr>
          <w:tag w:val="IntroDate"/>
          <w:id w:val="-1236936958"/>
          <w:placeholder>
            <w:docPart w:val="DA6107B5964E4A3F9787691DBCCC9051"/>
          </w:placeholder>
          <w:text/>
        </w:sdtPr>
        <w:sdtEndPr/>
        <w:sdtContent>
          <w:r w:rsidR="00AE48A0" w:rsidRPr="004A0EED">
            <w:rPr>
              <w:color w:val="auto"/>
            </w:rPr>
            <w:t>Introduced</w:t>
          </w:r>
        </w:sdtContent>
      </w:sdt>
    </w:p>
    <w:p w14:paraId="3F7F1E3F" w14:textId="263D8D3B" w:rsidR="00CD36CF" w:rsidRPr="004A0EED" w:rsidRDefault="00F9681C" w:rsidP="00CC1F3B">
      <w:pPr>
        <w:pStyle w:val="BillNumber"/>
        <w:rPr>
          <w:color w:val="auto"/>
        </w:rPr>
      </w:pPr>
      <w:sdt>
        <w:sdtPr>
          <w:rPr>
            <w:color w:val="auto"/>
          </w:rPr>
          <w:tag w:val="Chamber"/>
          <w:id w:val="893011969"/>
          <w:lock w:val="sdtLocked"/>
          <w:placeholder>
            <w:docPart w:val="89ECAA2A2D7941B4A281F28ABE69122C"/>
          </w:placeholder>
          <w:dropDownList>
            <w:listItem w:displayText="House" w:value="House"/>
            <w:listItem w:displayText="Senate" w:value="Senate"/>
          </w:dropDownList>
        </w:sdtPr>
        <w:sdtEndPr/>
        <w:sdtContent>
          <w:r w:rsidR="00C33434" w:rsidRPr="004A0EED">
            <w:rPr>
              <w:color w:val="auto"/>
            </w:rPr>
            <w:t>House</w:t>
          </w:r>
        </w:sdtContent>
      </w:sdt>
      <w:r w:rsidR="00303684" w:rsidRPr="004A0EED">
        <w:rPr>
          <w:color w:val="auto"/>
        </w:rPr>
        <w:t xml:space="preserve"> </w:t>
      </w:r>
      <w:r w:rsidR="00CD36CF" w:rsidRPr="004A0EED">
        <w:rPr>
          <w:color w:val="auto"/>
        </w:rPr>
        <w:t xml:space="preserve">Bill </w:t>
      </w:r>
      <w:sdt>
        <w:sdtPr>
          <w:rPr>
            <w:color w:val="auto"/>
          </w:rPr>
          <w:tag w:val="BNum"/>
          <w:id w:val="1645317809"/>
          <w:lock w:val="sdtLocked"/>
          <w:placeholder>
            <w:docPart w:val="3695B8E63CAE40C3AE6A37F1A904274F"/>
          </w:placeholder>
          <w:text/>
        </w:sdtPr>
        <w:sdtEndPr/>
        <w:sdtContent>
          <w:r>
            <w:rPr>
              <w:color w:val="auto"/>
            </w:rPr>
            <w:t>5227</w:t>
          </w:r>
        </w:sdtContent>
      </w:sdt>
    </w:p>
    <w:p w14:paraId="0AB82A96" w14:textId="3A9E8257" w:rsidR="00CD36CF" w:rsidRPr="004A0EED" w:rsidRDefault="00CD36CF" w:rsidP="00CC1F3B">
      <w:pPr>
        <w:pStyle w:val="Sponsors"/>
        <w:rPr>
          <w:color w:val="auto"/>
        </w:rPr>
      </w:pPr>
      <w:r w:rsidRPr="004A0EED">
        <w:rPr>
          <w:color w:val="auto"/>
        </w:rPr>
        <w:t xml:space="preserve">By </w:t>
      </w:r>
      <w:sdt>
        <w:sdtPr>
          <w:rPr>
            <w:color w:val="auto"/>
          </w:rPr>
          <w:tag w:val="Sponsors"/>
          <w:id w:val="1589585889"/>
          <w:placeholder>
            <w:docPart w:val="E33796AF340D45E18DBEB7AF84ABD426"/>
          </w:placeholder>
          <w:text w:multiLine="1"/>
        </w:sdtPr>
        <w:sdtEndPr/>
        <w:sdtContent>
          <w:r w:rsidR="000F7F6C" w:rsidRPr="004A0EED">
            <w:rPr>
              <w:color w:val="auto"/>
            </w:rPr>
            <w:t>Delegate</w:t>
          </w:r>
          <w:r w:rsidR="00C04C43">
            <w:rPr>
              <w:color w:val="auto"/>
            </w:rPr>
            <w:t>s</w:t>
          </w:r>
          <w:r w:rsidR="000F7F6C" w:rsidRPr="004A0EED">
            <w:rPr>
              <w:color w:val="auto"/>
            </w:rPr>
            <w:t xml:space="preserve"> Funkhouser</w:t>
          </w:r>
          <w:r w:rsidR="00C04C43">
            <w:rPr>
              <w:color w:val="auto"/>
            </w:rPr>
            <w:t>, Moore, Hillenbrand, Ridenour, and Heckert</w:t>
          </w:r>
          <w:r w:rsidR="00FC1723" w:rsidRPr="004A0EED">
            <w:rPr>
              <w:color w:val="auto"/>
            </w:rPr>
            <w:br/>
            <w:t>[Requested By the Office of the Secretary of State]</w:t>
          </w:r>
        </w:sdtContent>
      </w:sdt>
    </w:p>
    <w:p w14:paraId="56466BD9" w14:textId="510DBABE" w:rsidR="00E831B3" w:rsidRPr="004A0EED" w:rsidRDefault="00CD36CF" w:rsidP="00CC1F3B">
      <w:pPr>
        <w:pStyle w:val="References"/>
        <w:rPr>
          <w:color w:val="auto"/>
        </w:rPr>
      </w:pPr>
      <w:r w:rsidRPr="004A0EED">
        <w:rPr>
          <w:color w:val="auto"/>
        </w:rPr>
        <w:t>[</w:t>
      </w:r>
      <w:sdt>
        <w:sdtPr>
          <w:rPr>
            <w:color w:val="auto"/>
          </w:rPr>
          <w:tag w:val="References"/>
          <w:id w:val="-1043047873"/>
          <w:placeholder>
            <w:docPart w:val="4D6A93A9195D44C7B107341976EE690A"/>
          </w:placeholder>
          <w:text w:multiLine="1"/>
        </w:sdtPr>
        <w:sdtEndPr/>
        <w:sdtContent>
          <w:r w:rsidR="00F9681C">
            <w:rPr>
              <w:color w:val="auto"/>
            </w:rPr>
            <w:t>Introduced February 05, 2026; referred to the Committee on the Judiciary</w:t>
          </w:r>
        </w:sdtContent>
      </w:sdt>
      <w:r w:rsidRPr="004A0EED">
        <w:rPr>
          <w:color w:val="auto"/>
        </w:rPr>
        <w:t>]</w:t>
      </w:r>
    </w:p>
    <w:p w14:paraId="66A435E0" w14:textId="2D3497DF" w:rsidR="00303684" w:rsidRPr="004A0EED" w:rsidRDefault="0000526A" w:rsidP="00CC1F3B">
      <w:pPr>
        <w:pStyle w:val="TitleSection"/>
        <w:rPr>
          <w:color w:val="auto"/>
        </w:rPr>
      </w:pPr>
      <w:r w:rsidRPr="004A0EED">
        <w:rPr>
          <w:color w:val="auto"/>
        </w:rPr>
        <w:lastRenderedPageBreak/>
        <w:t>A BILL</w:t>
      </w:r>
      <w:r w:rsidR="00FC1723" w:rsidRPr="004A0EED">
        <w:rPr>
          <w:color w:val="auto"/>
        </w:rPr>
        <w:t xml:space="preserve"> to amend and reenact §59-1-2a of the Code of West Virginia, 1931, as amended, providing for the amount the Secretary of State may charge under this section for a bad check fee; allowing the Secretary of State to waive late fees; providing for a veteran-owned business logotype.</w:t>
      </w:r>
    </w:p>
    <w:p w14:paraId="44B3CE9B" w14:textId="77777777" w:rsidR="00303684" w:rsidRPr="004A0EED" w:rsidRDefault="00303684" w:rsidP="00CC1F3B">
      <w:pPr>
        <w:pStyle w:val="EnactingClause"/>
        <w:rPr>
          <w:color w:val="auto"/>
        </w:rPr>
      </w:pPr>
      <w:r w:rsidRPr="004A0EED">
        <w:rPr>
          <w:color w:val="auto"/>
        </w:rPr>
        <w:t>Be it enacted by the Legislature of West Virginia:</w:t>
      </w:r>
    </w:p>
    <w:p w14:paraId="4109F04B" w14:textId="77777777" w:rsidR="003C6034" w:rsidRPr="004A0EED" w:rsidRDefault="003C6034" w:rsidP="00CC1F3B">
      <w:pPr>
        <w:pStyle w:val="EnactingClause"/>
        <w:rPr>
          <w:color w:val="auto"/>
        </w:rPr>
        <w:sectPr w:rsidR="003C6034" w:rsidRPr="004A0EED" w:rsidSect="000F7F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E43542" w14:textId="77777777" w:rsidR="000F7F6C" w:rsidRPr="004A0EED" w:rsidRDefault="000F7F6C" w:rsidP="00525394">
      <w:pPr>
        <w:pStyle w:val="ArticleHeading"/>
        <w:rPr>
          <w:color w:val="auto"/>
        </w:rPr>
        <w:sectPr w:rsidR="000F7F6C" w:rsidRPr="004A0EED" w:rsidSect="000F7F6C">
          <w:type w:val="continuous"/>
          <w:pgSz w:w="12240" w:h="15840" w:code="1"/>
          <w:pgMar w:top="1440" w:right="1440" w:bottom="1440" w:left="1440" w:header="720" w:footer="720" w:gutter="0"/>
          <w:lnNumType w:countBy="1" w:restart="newSection"/>
          <w:cols w:space="720"/>
          <w:titlePg/>
          <w:docGrid w:linePitch="360"/>
        </w:sectPr>
      </w:pPr>
      <w:r w:rsidRPr="004A0EED">
        <w:rPr>
          <w:color w:val="auto"/>
        </w:rPr>
        <w:t>ARTICLE 1. FEES AND ALLOWANCES.</w:t>
      </w:r>
    </w:p>
    <w:p w14:paraId="04A6C142" w14:textId="77777777" w:rsidR="000F7F6C" w:rsidRPr="004A0EED" w:rsidRDefault="000F7F6C" w:rsidP="00715E4E">
      <w:pPr>
        <w:pStyle w:val="SectionHeading"/>
        <w:rPr>
          <w:color w:val="auto"/>
        </w:rPr>
        <w:sectPr w:rsidR="000F7F6C" w:rsidRPr="004A0EED" w:rsidSect="000F7F6C">
          <w:type w:val="continuous"/>
          <w:pgSz w:w="12240" w:h="15840" w:code="1"/>
          <w:pgMar w:top="1440" w:right="1440" w:bottom="1440" w:left="1440" w:header="720" w:footer="720" w:gutter="0"/>
          <w:lnNumType w:countBy="1" w:restart="newSection"/>
          <w:cols w:space="720"/>
          <w:titlePg/>
          <w:docGrid w:linePitch="360"/>
        </w:sectPr>
      </w:pPr>
      <w:r w:rsidRPr="004A0EED">
        <w:rPr>
          <w:color w:val="auto"/>
        </w:rPr>
        <w:t>§59-1-2a. Annual business fees to be paid to the Secretary of State; filing of annual reports; purchase of data.</w:t>
      </w:r>
    </w:p>
    <w:p w14:paraId="0C50BF3F" w14:textId="77777777" w:rsidR="000F7F6C" w:rsidRPr="004A0EED" w:rsidRDefault="000F7F6C" w:rsidP="00715E4E">
      <w:pPr>
        <w:pStyle w:val="SectionBody"/>
        <w:rPr>
          <w:color w:val="auto"/>
        </w:rPr>
      </w:pPr>
      <w:r w:rsidRPr="004A0EED">
        <w:rPr>
          <w:color w:val="auto"/>
        </w:rPr>
        <w:t>(a) Definitions. — As used in this section:</w:t>
      </w:r>
    </w:p>
    <w:p w14:paraId="10C58531" w14:textId="77777777" w:rsidR="000F7F6C" w:rsidRPr="004A0EED" w:rsidRDefault="000F7F6C" w:rsidP="00715E4E">
      <w:pPr>
        <w:pStyle w:val="SectionBody"/>
        <w:rPr>
          <w:color w:val="auto"/>
        </w:rPr>
      </w:pPr>
      <w:r w:rsidRPr="004A0EED">
        <w:rPr>
          <w:color w:val="auto"/>
        </w:rPr>
        <w:t>"Annual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04937036" w14:textId="77777777" w:rsidR="000F7F6C" w:rsidRPr="004A0EED" w:rsidRDefault="000F7F6C" w:rsidP="00715E4E">
      <w:pPr>
        <w:pStyle w:val="SectionBody"/>
        <w:rPr>
          <w:color w:val="auto"/>
        </w:rPr>
      </w:pPr>
      <w:r w:rsidRPr="004A0EED">
        <w:rPr>
          <w:color w:val="auto"/>
        </w:rPr>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27447F11" w14:textId="77777777" w:rsidR="000F7F6C" w:rsidRPr="004A0EED" w:rsidRDefault="000F7F6C" w:rsidP="00715E4E">
      <w:pPr>
        <w:pStyle w:val="SectionBody"/>
        <w:rPr>
          <w:color w:val="auto"/>
        </w:rPr>
      </w:pPr>
      <w:r w:rsidRPr="004A0EED">
        <w:rPr>
          <w:color w:val="auto"/>
        </w:rPr>
        <w:t>"Corporation" means a "domestic corporation", a "foreign corporation", or a "nonprofit corporation".</w:t>
      </w:r>
    </w:p>
    <w:p w14:paraId="09CB728A" w14:textId="77777777" w:rsidR="000F7F6C" w:rsidRPr="004A0EED" w:rsidRDefault="000F7F6C" w:rsidP="00715E4E">
      <w:pPr>
        <w:pStyle w:val="SectionBody"/>
        <w:rPr>
          <w:color w:val="auto"/>
        </w:rPr>
      </w:pPr>
      <w:r w:rsidRPr="004A0EED">
        <w:rPr>
          <w:color w:val="auto"/>
        </w:rPr>
        <w:t>"Deliver or delivery" means any method of delivery used in conventional commercial practice, including, but not limited to, delivery by hand, mail, commercial delivery, and electronic transmission.</w:t>
      </w:r>
    </w:p>
    <w:p w14:paraId="5CF5D6EC" w14:textId="77777777" w:rsidR="000F7F6C" w:rsidRPr="004A0EED" w:rsidRDefault="000F7F6C" w:rsidP="00715E4E">
      <w:pPr>
        <w:pStyle w:val="SectionBody"/>
        <w:rPr>
          <w:color w:val="auto"/>
        </w:rPr>
      </w:pPr>
      <w:r w:rsidRPr="004A0EED">
        <w:rPr>
          <w:color w:val="auto"/>
        </w:rPr>
        <w:t>"Domestic corporation" means a corporation for profit, which is not a foreign corporation, incorporated under or subject to chapter 31D of this code.</w:t>
      </w:r>
    </w:p>
    <w:p w14:paraId="5E42FDD0" w14:textId="77777777" w:rsidR="000F7F6C" w:rsidRPr="004A0EED" w:rsidRDefault="000F7F6C" w:rsidP="00715E4E">
      <w:pPr>
        <w:pStyle w:val="SectionBody"/>
        <w:rPr>
          <w:color w:val="auto"/>
        </w:rPr>
      </w:pPr>
      <w:r w:rsidRPr="004A0EED">
        <w:rPr>
          <w:color w:val="auto"/>
        </w:rPr>
        <w:t>"Domestic limited liability company" means a limited liability company, which is not a foreign limited liability company, under or subject to chapter 31B of this code.</w:t>
      </w:r>
    </w:p>
    <w:p w14:paraId="4B100BD9" w14:textId="77777777" w:rsidR="000F7F6C" w:rsidRPr="004A0EED" w:rsidRDefault="000F7F6C" w:rsidP="00715E4E">
      <w:pPr>
        <w:pStyle w:val="SectionBody"/>
        <w:rPr>
          <w:color w:val="auto"/>
        </w:rPr>
      </w:pPr>
      <w:r w:rsidRPr="004A0EED">
        <w:rPr>
          <w:color w:val="auto"/>
        </w:rPr>
        <w:t>"Foreign corporation" means a for-profit corporation incorporated under a law other than the laws of this state.</w:t>
      </w:r>
    </w:p>
    <w:p w14:paraId="41A36444" w14:textId="77777777" w:rsidR="000F7F6C" w:rsidRPr="004A0EED" w:rsidRDefault="000F7F6C" w:rsidP="00715E4E">
      <w:pPr>
        <w:pStyle w:val="SectionBody"/>
        <w:rPr>
          <w:color w:val="auto"/>
        </w:rPr>
      </w:pPr>
      <w:r w:rsidRPr="004A0EED">
        <w:rPr>
          <w:color w:val="auto"/>
        </w:rPr>
        <w:t>"Foreign limited liability company" means a limited liability company organized under a law other than the laws of this state.</w:t>
      </w:r>
    </w:p>
    <w:p w14:paraId="344A55C7" w14:textId="77777777" w:rsidR="000F7F6C" w:rsidRPr="004A0EED" w:rsidRDefault="000F7F6C" w:rsidP="00715E4E">
      <w:pPr>
        <w:pStyle w:val="SectionBody"/>
        <w:rPr>
          <w:color w:val="auto"/>
        </w:rPr>
      </w:pPr>
      <w:r w:rsidRPr="004A0EED">
        <w:rPr>
          <w:color w:val="auto"/>
        </w:rPr>
        <w:t>"Limited partnership" means a partnership as defined by §47-9-1 of this code.</w:t>
      </w:r>
    </w:p>
    <w:p w14:paraId="22C97B4D" w14:textId="77777777" w:rsidR="000F7F6C" w:rsidRPr="004A0EED" w:rsidRDefault="000F7F6C" w:rsidP="00715E4E">
      <w:pPr>
        <w:pStyle w:val="SectionBody"/>
        <w:rPr>
          <w:color w:val="auto"/>
        </w:rPr>
      </w:pPr>
      <w:r w:rsidRPr="004A0EED">
        <w:rPr>
          <w:color w:val="auto"/>
        </w:rPr>
        <w:t>"Nonprofit corporation" means a nonprofit corporation as defined by §31E-1-150 of this code.</w:t>
      </w:r>
    </w:p>
    <w:p w14:paraId="268C01CE" w14:textId="77777777" w:rsidR="000F7F6C" w:rsidRPr="004A0EED" w:rsidRDefault="000F7F6C" w:rsidP="00715E4E">
      <w:pPr>
        <w:pStyle w:val="SectionBody"/>
        <w:rPr>
          <w:color w:val="auto"/>
        </w:rPr>
      </w:pPr>
      <w:r w:rsidRPr="004A0EED">
        <w:rPr>
          <w:color w:val="auto"/>
        </w:rPr>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642E0497" w14:textId="77777777" w:rsidR="000F7F6C" w:rsidRPr="004A0EED" w:rsidRDefault="000F7F6C" w:rsidP="00715E4E">
      <w:pPr>
        <w:pStyle w:val="SectionBody"/>
        <w:rPr>
          <w:color w:val="auto"/>
        </w:rPr>
      </w:pPr>
      <w:r w:rsidRPr="004A0EED">
        <w:rPr>
          <w:color w:val="auto"/>
        </w:rPr>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5472FD01" w14:textId="77777777" w:rsidR="000F7F6C" w:rsidRPr="004A0EED" w:rsidRDefault="000F7F6C" w:rsidP="00715E4E">
      <w:pPr>
        <w:pStyle w:val="SectionBody"/>
        <w:rPr>
          <w:color w:val="auto"/>
        </w:rPr>
      </w:pPr>
      <w:r w:rsidRPr="004A0EED">
        <w:rPr>
          <w:color w:val="auto"/>
        </w:rPr>
        <w:t>"Veteran-owned business" or "active-duty member-owned business" means a business that meets the following criteria:</w:t>
      </w:r>
    </w:p>
    <w:p w14:paraId="5A60FBA2" w14:textId="77777777" w:rsidR="000F7F6C" w:rsidRPr="004A0EED" w:rsidRDefault="000F7F6C" w:rsidP="00715E4E">
      <w:pPr>
        <w:pStyle w:val="SectionBody"/>
        <w:rPr>
          <w:color w:val="auto"/>
        </w:rPr>
      </w:pPr>
      <w:r w:rsidRPr="004A0EED">
        <w:rPr>
          <w:color w:val="auto"/>
        </w:rPr>
        <w:t>(A) Is at least 51 percent unconditionally owned by one or more veterans, active-duty members of any branch of the United States military, or their respective spouses; or</w:t>
      </w:r>
    </w:p>
    <w:p w14:paraId="55A261BF" w14:textId="77777777" w:rsidR="000F7F6C" w:rsidRPr="004A0EED" w:rsidRDefault="000F7F6C" w:rsidP="00715E4E">
      <w:pPr>
        <w:pStyle w:val="SectionBody"/>
        <w:rPr>
          <w:color w:val="auto"/>
        </w:rPr>
      </w:pPr>
      <w:r w:rsidRPr="004A0EED">
        <w:rPr>
          <w:color w:val="auto"/>
        </w:rPr>
        <w:t>(B) In the case of a publicly owned business, at least 51 percent of the stock is unconditionally owned by one or more veterans, active-duty members of any branch of the United States military, or their respective spouses.</w:t>
      </w:r>
    </w:p>
    <w:p w14:paraId="518CCBCE" w14:textId="77777777" w:rsidR="000F7F6C" w:rsidRPr="004A0EED" w:rsidRDefault="000F7F6C" w:rsidP="00715E4E">
      <w:pPr>
        <w:pStyle w:val="SectionBody"/>
        <w:rPr>
          <w:color w:val="auto"/>
        </w:rPr>
      </w:pPr>
      <w:r w:rsidRPr="004A0EED">
        <w:rPr>
          <w:color w:val="auto"/>
        </w:rPr>
        <w:t>(b) Required payment of annual report fee and filing of annual report. —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21737B80" w14:textId="77777777" w:rsidR="000F7F6C" w:rsidRPr="004A0EED" w:rsidRDefault="000F7F6C" w:rsidP="00715E4E">
      <w:pPr>
        <w:pStyle w:val="SectionBody"/>
        <w:rPr>
          <w:color w:val="auto"/>
        </w:rPr>
      </w:pPr>
      <w:r w:rsidRPr="004A0EED">
        <w:rPr>
          <w:color w:val="auto"/>
        </w:rPr>
        <w:t>(c) Annual report fee. —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 of this section on or before the dates specified in subsection (e) of this section. 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 The annual report fees received by the Secretary of State pursuant to this subsection shall be deposited by the Secretary of State in the general administrative fees account established by §59-1-2 of this code.</w:t>
      </w:r>
    </w:p>
    <w:p w14:paraId="665592EC" w14:textId="77777777" w:rsidR="000F7F6C" w:rsidRPr="004A0EED" w:rsidRDefault="000F7F6C" w:rsidP="00715E4E">
      <w:pPr>
        <w:pStyle w:val="SectionBody"/>
        <w:rPr>
          <w:color w:val="auto"/>
        </w:rPr>
      </w:pPr>
      <w:r w:rsidRPr="004A0EED">
        <w:rPr>
          <w:color w:val="auto"/>
        </w:rPr>
        <w:t xml:space="preserve">(d) Annual report. — </w:t>
      </w:r>
    </w:p>
    <w:p w14:paraId="7BF25520" w14:textId="77777777" w:rsidR="000F7F6C" w:rsidRPr="004A0EED" w:rsidRDefault="000F7F6C" w:rsidP="00715E4E">
      <w:pPr>
        <w:pStyle w:val="SectionBody"/>
        <w:rPr>
          <w:color w:val="auto"/>
        </w:rPr>
      </w:pPr>
      <w:r w:rsidRPr="004A0EED">
        <w:rPr>
          <w:color w:val="auto"/>
        </w:rPr>
        <w:t>(1)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subsection (c) of this section on or before the dates specified in subsection (e) of this section. 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1AB8B453" w14:textId="215C5281" w:rsidR="000F7F6C" w:rsidRPr="004A0EED" w:rsidRDefault="000F7F6C" w:rsidP="00715E4E">
      <w:pPr>
        <w:pStyle w:val="SectionBody"/>
        <w:rPr>
          <w:color w:val="auto"/>
        </w:rPr>
      </w:pPr>
      <w:r w:rsidRPr="004A0EED">
        <w:rPr>
          <w:color w:val="auto"/>
        </w:rPr>
        <w:t xml:space="preserve">(2)(A) The annual report shall be filed with the Secretary of State on forms provided by the Secretary of State for that purpose. The annual report shall, in the case of corporations, contain: (i)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w:t>
      </w:r>
      <w:r w:rsidRPr="004A0EED">
        <w:rPr>
          <w:strike/>
          <w:color w:val="auto"/>
        </w:rPr>
        <w:t>and</w:t>
      </w:r>
      <w:r w:rsidRPr="004A0EED">
        <w:rPr>
          <w:color w:val="auto"/>
        </w:rPr>
        <w:t xml:space="preserve"> (viii) </w:t>
      </w:r>
      <w:r w:rsidRPr="004A0EED">
        <w:rPr>
          <w:color w:val="auto"/>
          <w:u w:val="single"/>
        </w:rPr>
        <w:t>an e-mail address where informational notices and reminders of annual filings may be sent, unless there is a technical inability to comply; and (ix)</w:t>
      </w:r>
      <w:r w:rsidRPr="004A0EED">
        <w:rPr>
          <w:color w:val="auto"/>
        </w:rPr>
        <w:t xml:space="preserve"> any other information the Secretary of State considers appropriate.</w:t>
      </w:r>
    </w:p>
    <w:p w14:paraId="3AEA85D5" w14:textId="77777777" w:rsidR="000F7F6C" w:rsidRPr="004A0EED" w:rsidRDefault="000F7F6C" w:rsidP="00715E4E">
      <w:pPr>
        <w:pStyle w:val="SectionBody"/>
        <w:rPr>
          <w:color w:val="auto"/>
        </w:rPr>
      </w:pPr>
      <w:r w:rsidRPr="004A0EED">
        <w:rPr>
          <w:color w:val="auto"/>
        </w:rPr>
        <w:t>(B) Notwithstanding any other provision of law to the contrary, the Secretary of State shall, upon request of any person, disclose, with respect to corporations: (i)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521D0043" w14:textId="77777777" w:rsidR="000F7F6C" w:rsidRPr="004A0EED" w:rsidRDefault="000F7F6C" w:rsidP="00715E4E">
      <w:pPr>
        <w:pStyle w:val="SectionBody"/>
        <w:rPr>
          <w:color w:val="auto"/>
        </w:rPr>
      </w:pPr>
      <w:r w:rsidRPr="004A0EED">
        <w:rPr>
          <w:color w:val="auto"/>
        </w:rPr>
        <w:t>(e) Annual reports and fees due by June 30. — Each domestic and foreign corporation, limited partnership, limited liability company, and foreign limited liability company shall file with the Secretary of State the annual report and pay the annual report fee on or before 11:59 PM on June 30 of each year.</w:t>
      </w:r>
    </w:p>
    <w:p w14:paraId="3D9FF9E9" w14:textId="77777777" w:rsidR="000F7F6C" w:rsidRPr="004A0EED" w:rsidRDefault="000F7F6C" w:rsidP="00715E4E">
      <w:pPr>
        <w:pStyle w:val="SectionBody"/>
        <w:rPr>
          <w:color w:val="auto"/>
        </w:rPr>
      </w:pPr>
      <w:r w:rsidRPr="004A0EED">
        <w:rPr>
          <w:color w:val="auto"/>
        </w:rPr>
        <w:t>(f) Deposit of fees. — The annual report fees received by the Secretary of State pursuant to this section shall be deposited by the Secretary of State in the general administrative fees account established by §59-1-2 of this code.</w:t>
      </w:r>
    </w:p>
    <w:p w14:paraId="3D4324E1" w14:textId="77777777" w:rsidR="000F7F6C" w:rsidRPr="004A0EED" w:rsidRDefault="000F7F6C" w:rsidP="00715E4E">
      <w:pPr>
        <w:pStyle w:val="SectionBody"/>
        <w:rPr>
          <w:color w:val="auto"/>
        </w:rPr>
      </w:pPr>
      <w:r w:rsidRPr="004A0EED">
        <w:rPr>
          <w:color w:val="auto"/>
        </w:rPr>
        <w:t xml:space="preserve">(g)(1) Duty to pay. — It is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is subject to the late fees prescribed in subsection (h) of this section and dissolution or revocation, pursuant to this code: </w:t>
      </w:r>
      <w:r w:rsidRPr="004A0EED">
        <w:rPr>
          <w:i/>
          <w:iCs/>
          <w:color w:val="auto"/>
        </w:rPr>
        <w:t>Provided</w:t>
      </w:r>
      <w:r w:rsidRPr="004A0EED">
        <w:rPr>
          <w:color w:val="auto"/>
        </w:rPr>
        <w:t>,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30 days before the dissolution or revocation date listed in the notice.</w:t>
      </w:r>
    </w:p>
    <w:p w14:paraId="53EA9F48" w14:textId="16A899A6" w:rsidR="000F7F6C" w:rsidRPr="004A0EED" w:rsidRDefault="000F7F6C" w:rsidP="00715E4E">
      <w:pPr>
        <w:pStyle w:val="SectionBody"/>
        <w:rPr>
          <w:color w:val="auto"/>
        </w:rPr>
      </w:pPr>
      <w:r w:rsidRPr="004A0EED">
        <w:rPr>
          <w:color w:val="auto"/>
        </w:rPr>
        <w:t xml:space="preserve">(2) Bad check fee. — If any corporation, limited partnership, limited liability company, or foreign limited liability company submits payment by check or money order for the annual report fee imposed under this article and the check, </w:t>
      </w:r>
      <w:r w:rsidRPr="004A0EED">
        <w:rPr>
          <w:strike/>
          <w:color w:val="auto"/>
        </w:rPr>
        <w:t>or</w:t>
      </w:r>
      <w:r w:rsidRPr="004A0EED">
        <w:rPr>
          <w:color w:val="auto"/>
        </w:rPr>
        <w:t xml:space="preserve"> money order, </w:t>
      </w:r>
      <w:r w:rsidRPr="004A0EED">
        <w:rPr>
          <w:color w:val="auto"/>
          <w:u w:val="single"/>
        </w:rPr>
        <w:t>or automatic bank transfer</w:t>
      </w:r>
      <w:r w:rsidRPr="004A0EED">
        <w:rPr>
          <w:color w:val="auto"/>
        </w:rPr>
        <w:t xml:space="preserve"> is rejected </w:t>
      </w:r>
      <w:r w:rsidRPr="004A0EED">
        <w:rPr>
          <w:color w:val="auto"/>
          <w:u w:val="single"/>
        </w:rPr>
        <w:t>or declined</w:t>
      </w:r>
      <w:r w:rsidRPr="004A0EED">
        <w:rPr>
          <w:color w:val="auto"/>
        </w:rPr>
        <w:t xml:space="preserve"> because there are insufficient funds in the account, an invalid account number is provided, </w:t>
      </w:r>
      <w:r w:rsidRPr="004A0EED">
        <w:rPr>
          <w:strike/>
          <w:color w:val="auto"/>
        </w:rPr>
        <w:t>or</w:t>
      </w:r>
      <w:r w:rsidRPr="004A0EED">
        <w:rPr>
          <w:color w:val="auto"/>
        </w:rPr>
        <w:t xml:space="preserve"> the account is closed, </w:t>
      </w:r>
      <w:r w:rsidRPr="004A0EED">
        <w:rPr>
          <w:color w:val="auto"/>
          <w:u w:val="single"/>
        </w:rPr>
        <w:t>or for any other reason,</w:t>
      </w:r>
      <w:r w:rsidRPr="004A0EED">
        <w:rPr>
          <w:color w:val="auto"/>
        </w:rPr>
        <w:t xml:space="preserve"> the Secretary of State shall assess a bad check fee to the corporation, limited partnership, limited liability company, or foreign limited liability company </w:t>
      </w:r>
      <w:r w:rsidRPr="004A0EED">
        <w:rPr>
          <w:strike/>
          <w:color w:val="auto"/>
        </w:rPr>
        <w:t>that is equivalent to the service charge paid by the Secretary of State due to the rejected check or money order</w:t>
      </w:r>
      <w:r w:rsidRPr="004A0EED">
        <w:rPr>
          <w:color w:val="auto"/>
        </w:rPr>
        <w:t xml:space="preserve"> </w:t>
      </w:r>
      <w:r w:rsidRPr="004A0EED">
        <w:rPr>
          <w:color w:val="auto"/>
          <w:u w:val="single"/>
        </w:rPr>
        <w:t>not exceeding an amount equal to $5 plus any amount passed on from a financial institution on a drawer or indorser</w:t>
      </w:r>
      <w:r w:rsidRPr="004A0EED">
        <w:rPr>
          <w:color w:val="auto"/>
        </w:rPr>
        <w:t>. The bad check fee assessed under this subdivision shall be deposited into the account or accounts from which the Secretary of State paid the service charge.</w:t>
      </w:r>
    </w:p>
    <w:p w14:paraId="6AED7B4C" w14:textId="77777777" w:rsidR="000F7F6C" w:rsidRPr="004A0EED" w:rsidRDefault="000F7F6C" w:rsidP="00715E4E">
      <w:pPr>
        <w:pStyle w:val="SectionBody"/>
        <w:rPr>
          <w:color w:val="auto"/>
        </w:rPr>
      </w:pPr>
      <w:r w:rsidRPr="004A0EED">
        <w:rPr>
          <w:color w:val="auto"/>
        </w:rPr>
        <w:t xml:space="preserve">(h) Late fees. — </w:t>
      </w:r>
    </w:p>
    <w:p w14:paraId="33A01343" w14:textId="77777777" w:rsidR="000F7F6C" w:rsidRPr="004A0EED" w:rsidRDefault="000F7F6C" w:rsidP="00715E4E">
      <w:pPr>
        <w:pStyle w:val="SectionBody"/>
        <w:rPr>
          <w:color w:val="auto"/>
        </w:rPr>
      </w:pPr>
      <w:r w:rsidRPr="004A0EED">
        <w:rPr>
          <w:color w:val="auto"/>
        </w:rPr>
        <w:t>(1) The following late fees are in addition to any other penalties and remedies available elsewhere in this code:</w:t>
      </w:r>
    </w:p>
    <w:p w14:paraId="1F0FC689" w14:textId="77777777" w:rsidR="000F7F6C" w:rsidRPr="004A0EED" w:rsidRDefault="000F7F6C" w:rsidP="00715E4E">
      <w:pPr>
        <w:pStyle w:val="SectionBody"/>
        <w:rPr>
          <w:color w:val="auto"/>
        </w:rPr>
      </w:pPr>
      <w:r w:rsidRPr="004A0EED">
        <w:rPr>
          <w:color w:val="auto"/>
        </w:rPr>
        <w:t>(A) Administrative late fee. —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3B403D67" w14:textId="77777777" w:rsidR="000F7F6C" w:rsidRPr="004A0EED" w:rsidRDefault="000F7F6C" w:rsidP="00715E4E">
      <w:pPr>
        <w:pStyle w:val="SectionBody"/>
        <w:rPr>
          <w:color w:val="auto"/>
        </w:rPr>
      </w:pPr>
      <w:r w:rsidRPr="004A0EED">
        <w:rPr>
          <w:color w:val="auto"/>
        </w:rPr>
        <w:t>(B) Administrative late fees for nonprofit corporations. — The Secretary of State shall assess each nonprofit corporation delinquent in the payment of an annual report fee or the filing of an annual report an administrative late fee in the amount of $25.</w:t>
      </w:r>
    </w:p>
    <w:p w14:paraId="2A8064C6" w14:textId="77777777" w:rsidR="000F7F6C" w:rsidRPr="004A0EED" w:rsidRDefault="000F7F6C" w:rsidP="00715E4E">
      <w:pPr>
        <w:pStyle w:val="SectionBody"/>
        <w:rPr>
          <w:color w:val="auto"/>
        </w:rPr>
      </w:pPr>
      <w:r w:rsidRPr="004A0EED">
        <w:rPr>
          <w:color w:val="auto"/>
        </w:rPr>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4ECC8030" w14:textId="77777777" w:rsidR="000F7F6C" w:rsidRPr="004A0EED" w:rsidRDefault="000F7F6C" w:rsidP="000F7F6C">
      <w:pPr>
        <w:pStyle w:val="SectionBody"/>
        <w:rPr>
          <w:color w:val="auto"/>
          <w:u w:val="single"/>
        </w:rPr>
      </w:pPr>
      <w:r w:rsidRPr="004A0EED">
        <w:rPr>
          <w:color w:val="auto"/>
          <w:u w:val="single"/>
        </w:rPr>
        <w:t>(3) With respect to any fees collected under this section, the Secretary of State may waive or reduce an administrative late fee if the delinquency in the payment of an annual report fee or the filing of an annual report is determined by the Secretary of State to have been caused by circumstances beyond the control of the filer or the filer’s agent. In determining whether to waive or reduce the late fee, the Secretary of State may consider:</w:t>
      </w:r>
    </w:p>
    <w:p w14:paraId="165E965E" w14:textId="77777777" w:rsidR="000F7F6C" w:rsidRPr="004A0EED" w:rsidRDefault="000F7F6C" w:rsidP="000F7F6C">
      <w:pPr>
        <w:pStyle w:val="SectionBody"/>
        <w:rPr>
          <w:color w:val="auto"/>
          <w:u w:val="single"/>
        </w:rPr>
      </w:pPr>
      <w:r w:rsidRPr="004A0EED">
        <w:rPr>
          <w:color w:val="auto"/>
          <w:u w:val="single"/>
        </w:rPr>
        <w:t>(A) The history of compliance and timely payment and filing including, but not limited to, previous waiver requests, late filings, and late payments;</w:t>
      </w:r>
    </w:p>
    <w:p w14:paraId="45BB6153" w14:textId="77777777" w:rsidR="000F7F6C" w:rsidRPr="004A0EED" w:rsidRDefault="000F7F6C" w:rsidP="000F7F6C">
      <w:pPr>
        <w:pStyle w:val="SectionBody"/>
        <w:rPr>
          <w:color w:val="auto"/>
          <w:u w:val="single"/>
        </w:rPr>
      </w:pPr>
      <w:r w:rsidRPr="004A0EED">
        <w:rPr>
          <w:color w:val="auto"/>
          <w:u w:val="single"/>
        </w:rPr>
        <w:t>(B) The weight and sufficiency of the evidence supporting the request to waive or reduce the late fee for the late filing or payment;</w:t>
      </w:r>
    </w:p>
    <w:p w14:paraId="40918A70" w14:textId="77777777" w:rsidR="000F7F6C" w:rsidRPr="004A0EED" w:rsidRDefault="000F7F6C" w:rsidP="000F7F6C">
      <w:pPr>
        <w:pStyle w:val="SectionBody"/>
        <w:rPr>
          <w:color w:val="auto"/>
          <w:u w:val="single"/>
        </w:rPr>
      </w:pPr>
      <w:r w:rsidRPr="004A0EED">
        <w:rPr>
          <w:color w:val="auto"/>
          <w:u w:val="single"/>
        </w:rPr>
        <w:t>(C) Any evidence which shows that the late payment or late filing was caused by circumstances that were not directly related to the actions of the filer or the filer’s agent; and</w:t>
      </w:r>
    </w:p>
    <w:p w14:paraId="2A78C9FF" w14:textId="77777777" w:rsidR="000F7F6C" w:rsidRPr="004A0EED" w:rsidRDefault="000F7F6C" w:rsidP="000F7F6C">
      <w:pPr>
        <w:pStyle w:val="SectionBody"/>
        <w:rPr>
          <w:color w:val="auto"/>
          <w:u w:val="single"/>
        </w:rPr>
      </w:pPr>
      <w:r w:rsidRPr="004A0EED">
        <w:rPr>
          <w:color w:val="auto"/>
          <w:u w:val="single"/>
        </w:rPr>
        <w:t>(D) Any other factor deemed by the Secretary of State to be relevant.</w:t>
      </w:r>
    </w:p>
    <w:p w14:paraId="1AA6B6EE" w14:textId="77777777" w:rsidR="000F7F6C" w:rsidRPr="004A0EED" w:rsidRDefault="000F7F6C" w:rsidP="00715E4E">
      <w:pPr>
        <w:pStyle w:val="SectionBody"/>
        <w:rPr>
          <w:color w:val="auto"/>
        </w:rPr>
      </w:pPr>
      <w:r w:rsidRPr="004A0EED">
        <w:rPr>
          <w:color w:val="auto"/>
        </w:rPr>
        <w:t xml:space="preserve">(i) Reports to Tax Commissioner; suspension, cancellation or withholding of business registration certificate. — </w:t>
      </w:r>
    </w:p>
    <w:p w14:paraId="08C48861" w14:textId="77777777" w:rsidR="000F7F6C" w:rsidRPr="004A0EED" w:rsidRDefault="000F7F6C" w:rsidP="00715E4E">
      <w:pPr>
        <w:pStyle w:val="SectionBody"/>
        <w:rPr>
          <w:color w:val="auto"/>
        </w:rPr>
      </w:pPr>
      <w:r w:rsidRPr="004A0EED">
        <w:rPr>
          <w:color w:val="auto"/>
        </w:rPr>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76B0A263" w14:textId="77777777" w:rsidR="000F7F6C" w:rsidRPr="004A0EED" w:rsidRDefault="000F7F6C" w:rsidP="00715E4E">
      <w:pPr>
        <w:pStyle w:val="SectionBody"/>
        <w:rPr>
          <w:color w:val="auto"/>
        </w:rPr>
      </w:pPr>
      <w:r w:rsidRPr="004A0EED">
        <w:rPr>
          <w:color w:val="auto"/>
        </w:rPr>
        <w:t xml:space="preserve">(2)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Pr="004A0EED">
        <w:rPr>
          <w:i/>
          <w:iCs/>
          <w:color w:val="auto"/>
        </w:rPr>
        <w:t>et seq</w:t>
      </w:r>
      <w:r w:rsidRPr="004A0EED">
        <w:rPr>
          <w:color w:val="auto"/>
        </w:rPr>
        <w:t>. of this code.</w:t>
      </w:r>
    </w:p>
    <w:p w14:paraId="7152B629" w14:textId="77777777" w:rsidR="000F7F6C" w:rsidRPr="004A0EED" w:rsidRDefault="000F7F6C" w:rsidP="00715E4E">
      <w:pPr>
        <w:pStyle w:val="SectionBody"/>
        <w:rPr>
          <w:color w:val="auto"/>
        </w:rPr>
      </w:pPr>
      <w:r w:rsidRPr="004A0EED">
        <w:rPr>
          <w:color w:val="auto"/>
        </w:rPr>
        <w:t>(j)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0D232906" w14:textId="77777777" w:rsidR="000F7F6C" w:rsidRPr="004A0EED" w:rsidRDefault="000F7F6C" w:rsidP="00715E4E">
      <w:pPr>
        <w:pStyle w:val="SectionBody"/>
        <w:rPr>
          <w:color w:val="auto"/>
        </w:rPr>
      </w:pPr>
      <w:r w:rsidRPr="004A0EED">
        <w:rPr>
          <w:color w:val="auto"/>
        </w:rPr>
        <w:t>(k) The Secretary of State may collect the service fee per transaction, if any, charged for an online service from any customer who purchases data or conducts transactions through an online service.</w:t>
      </w:r>
    </w:p>
    <w:p w14:paraId="18E994D6" w14:textId="77777777" w:rsidR="000F7F6C" w:rsidRPr="004A0EED" w:rsidRDefault="000F7F6C" w:rsidP="00715E4E">
      <w:pPr>
        <w:pStyle w:val="SectionBody"/>
        <w:rPr>
          <w:color w:val="auto"/>
        </w:rPr>
      </w:pPr>
      <w:r w:rsidRPr="004A0EED">
        <w:rPr>
          <w:color w:val="auto"/>
        </w:rPr>
        <w:t xml:space="preserve">(l) Rules. — The Secretary of State may propose rules for legislative approval, in accordance with the provisions of §29A-3-1 </w:t>
      </w:r>
      <w:r w:rsidRPr="004A0EED">
        <w:rPr>
          <w:i/>
          <w:iCs/>
          <w:color w:val="auto"/>
        </w:rPr>
        <w:t>et seq</w:t>
      </w:r>
      <w:r w:rsidRPr="004A0EED">
        <w:rPr>
          <w:color w:val="auto"/>
        </w:rPr>
        <w:t xml:space="preserve">. of this code, to implement this article. </w:t>
      </w:r>
    </w:p>
    <w:p w14:paraId="53FF9E6C" w14:textId="77777777" w:rsidR="000F7F6C" w:rsidRPr="004A0EED" w:rsidRDefault="000F7F6C" w:rsidP="00715E4E">
      <w:pPr>
        <w:pStyle w:val="SectionBody"/>
        <w:rPr>
          <w:color w:val="auto"/>
        </w:rPr>
      </w:pPr>
      <w:r w:rsidRPr="004A0EED">
        <w:rPr>
          <w:color w:val="auto"/>
        </w:rPr>
        <w:t xml:space="preserve">(m)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 </w:t>
      </w:r>
      <w:r w:rsidRPr="004A0EED">
        <w:rPr>
          <w:i/>
          <w:iCs/>
          <w:color w:val="auto"/>
        </w:rPr>
        <w:t>Provided</w:t>
      </w:r>
      <w:r w:rsidRPr="004A0EED">
        <w:rPr>
          <w:color w:val="auto"/>
        </w:rPr>
        <w:t>, That a veteran-owned business or an active-duty member-owned business is not exempt from any filing deadlines or other fees required by this section.</w:t>
      </w:r>
    </w:p>
    <w:p w14:paraId="16E2E923" w14:textId="77777777" w:rsidR="004671B0" w:rsidRPr="004A0EED" w:rsidRDefault="004671B0" w:rsidP="004671B0">
      <w:pPr>
        <w:pStyle w:val="SectionBody"/>
        <w:rPr>
          <w:color w:val="auto"/>
          <w:u w:val="single"/>
        </w:rPr>
      </w:pPr>
      <w:r w:rsidRPr="004A0EED">
        <w:rPr>
          <w:color w:val="auto"/>
          <w:u w:val="single"/>
        </w:rPr>
        <w:t>(1) Logotype — No later than 60 days after the effective date of this subsection, the Secretary of State shall develop and design an official veteran-owned business logotype to be used by a veteran-owned business.</w:t>
      </w:r>
    </w:p>
    <w:p w14:paraId="1A16A3EE" w14:textId="77777777" w:rsidR="004671B0" w:rsidRPr="004A0EED" w:rsidRDefault="004671B0" w:rsidP="004671B0">
      <w:pPr>
        <w:pStyle w:val="SectionBody"/>
        <w:rPr>
          <w:color w:val="auto"/>
          <w:u w:val="single"/>
        </w:rPr>
      </w:pPr>
      <w:r w:rsidRPr="004A0EED">
        <w:rPr>
          <w:color w:val="auto"/>
          <w:u w:val="single"/>
        </w:rPr>
        <w:t>(A) The logotype shall not include any language that may be construed as an endorsement by the State and shall only indicate that the business is a veteran-owned business.</w:t>
      </w:r>
    </w:p>
    <w:p w14:paraId="719BAE7C" w14:textId="77777777" w:rsidR="004671B0" w:rsidRPr="004A0EED" w:rsidRDefault="004671B0" w:rsidP="004671B0">
      <w:pPr>
        <w:pStyle w:val="SectionBody"/>
        <w:rPr>
          <w:color w:val="auto"/>
          <w:u w:val="single"/>
        </w:rPr>
      </w:pPr>
      <w:r w:rsidRPr="004A0EED">
        <w:rPr>
          <w:color w:val="auto"/>
          <w:u w:val="single"/>
        </w:rPr>
        <w:t xml:space="preserve">(B) No later than 90 days after the effective date of this subsection, the Secretary of State shall develop an application for which a veteran-owned business may apply to use the logotype. </w:t>
      </w:r>
    </w:p>
    <w:p w14:paraId="7C81C0C1" w14:textId="77777777" w:rsidR="004671B0" w:rsidRPr="004A0EED" w:rsidRDefault="004671B0" w:rsidP="004671B0">
      <w:pPr>
        <w:pStyle w:val="SectionBody"/>
        <w:rPr>
          <w:color w:val="auto"/>
          <w:u w:val="single"/>
        </w:rPr>
      </w:pPr>
      <w:r w:rsidRPr="004A0EED">
        <w:rPr>
          <w:color w:val="auto"/>
          <w:u w:val="single"/>
        </w:rPr>
        <w:t xml:space="preserve">(C) The Secretary of State shall develop guidelines with the criteria to establish veteran-owned status of businesses applying for the logotype. </w:t>
      </w:r>
    </w:p>
    <w:p w14:paraId="18CCBA1B" w14:textId="77777777" w:rsidR="004671B0" w:rsidRPr="004A0EED" w:rsidRDefault="004671B0" w:rsidP="004671B0">
      <w:pPr>
        <w:pStyle w:val="SectionBody"/>
        <w:rPr>
          <w:color w:val="auto"/>
          <w:u w:val="single"/>
        </w:rPr>
      </w:pPr>
      <w:r w:rsidRPr="004A0EED">
        <w:rPr>
          <w:color w:val="auto"/>
          <w:u w:val="single"/>
        </w:rPr>
        <w:t>(D) The Secretary of State may provide a space on the application where an applicant may voluntarily make a contribution of any amount to be deposited into the West Virginia Veterans’ Home Loan Mortgage Fund.</w:t>
      </w:r>
    </w:p>
    <w:p w14:paraId="010C5961" w14:textId="77777777" w:rsidR="004671B0" w:rsidRPr="004A0EED" w:rsidRDefault="004671B0" w:rsidP="004671B0">
      <w:pPr>
        <w:pStyle w:val="SectionBody"/>
        <w:rPr>
          <w:color w:val="auto"/>
          <w:u w:val="single"/>
        </w:rPr>
      </w:pPr>
      <w:r w:rsidRPr="004A0EED">
        <w:rPr>
          <w:color w:val="auto"/>
          <w:u w:val="single"/>
        </w:rPr>
        <w:t>(E) No later than 60 days after the creation of a logotype under this subsection, the Secretary of State shall post a notice that:</w:t>
      </w:r>
    </w:p>
    <w:p w14:paraId="51CDA139" w14:textId="77777777" w:rsidR="004671B0" w:rsidRPr="004A0EED" w:rsidRDefault="004671B0" w:rsidP="004671B0">
      <w:pPr>
        <w:pStyle w:val="SectionBody"/>
        <w:rPr>
          <w:color w:val="auto"/>
          <w:u w:val="single"/>
        </w:rPr>
      </w:pPr>
      <w:r w:rsidRPr="004A0EED">
        <w:rPr>
          <w:color w:val="auto"/>
          <w:u w:val="single"/>
        </w:rPr>
        <w:t>(i) The logotype under this subsection is available for use by an approved veteran-owned business; and</w:t>
      </w:r>
    </w:p>
    <w:p w14:paraId="58AEF062" w14:textId="77777777" w:rsidR="004671B0" w:rsidRPr="004A0EED" w:rsidRDefault="004671B0" w:rsidP="004671B0">
      <w:pPr>
        <w:pStyle w:val="SectionBody"/>
        <w:rPr>
          <w:color w:val="auto"/>
          <w:u w:val="single"/>
        </w:rPr>
      </w:pPr>
      <w:r w:rsidRPr="004A0EED">
        <w:rPr>
          <w:color w:val="auto"/>
          <w:u w:val="single"/>
        </w:rPr>
        <w:t xml:space="preserve">(ii) Includes instructions on how to complete and submit an application. </w:t>
      </w:r>
    </w:p>
    <w:p w14:paraId="106D766B" w14:textId="77777777" w:rsidR="000F7F6C" w:rsidRPr="004A0EED" w:rsidRDefault="000F7F6C" w:rsidP="00715E4E">
      <w:pPr>
        <w:pStyle w:val="SectionBody"/>
        <w:rPr>
          <w:color w:val="auto"/>
        </w:rPr>
      </w:pPr>
      <w:r w:rsidRPr="004A0EED">
        <w:rPr>
          <w:color w:val="auto"/>
        </w:rPr>
        <w:t>(n) The Secretary of State may waive new business registration fees at up to three entrepreneurship events or conferences within the state of West Virginia.</w:t>
      </w:r>
    </w:p>
    <w:p w14:paraId="5264B0E6" w14:textId="77777777" w:rsidR="000F7F6C" w:rsidRPr="004A0EED" w:rsidRDefault="000F7F6C" w:rsidP="00715E4E">
      <w:pPr>
        <w:pStyle w:val="SectionBody"/>
        <w:rPr>
          <w:color w:val="auto"/>
        </w:rPr>
      </w:pPr>
      <w:r w:rsidRPr="004A0EED">
        <w:rPr>
          <w:color w:val="auto"/>
        </w:rPr>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7BE35313" w14:textId="77777777" w:rsidR="000F7F6C" w:rsidRPr="004A0EED" w:rsidRDefault="000F7F6C" w:rsidP="00715E4E">
      <w:pPr>
        <w:pStyle w:val="SectionBody"/>
        <w:rPr>
          <w:color w:val="auto"/>
        </w:rPr>
      </w:pPr>
      <w:r w:rsidRPr="004A0EED">
        <w:rPr>
          <w:color w:val="auto"/>
        </w:rPr>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5AF6F2D7" w14:textId="77777777" w:rsidR="000F7F6C" w:rsidRPr="004A0EED" w:rsidRDefault="000F7F6C" w:rsidP="00715E4E">
      <w:pPr>
        <w:pStyle w:val="SectionBody"/>
        <w:rPr>
          <w:color w:val="auto"/>
        </w:rPr>
      </w:pPr>
      <w:r w:rsidRPr="004A0EED">
        <w:rPr>
          <w:color w:val="auto"/>
        </w:rPr>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4ECF1485" w14:textId="77777777" w:rsidR="000F7F6C" w:rsidRPr="004A0EED" w:rsidRDefault="000F7F6C" w:rsidP="00715E4E">
      <w:pPr>
        <w:pStyle w:val="SectionBody"/>
        <w:rPr>
          <w:color w:val="auto"/>
        </w:rPr>
      </w:pPr>
      <w:r w:rsidRPr="004A0EED">
        <w:rPr>
          <w:color w:val="auto"/>
        </w:rPr>
        <w:t>(3) On each fee schedule page, the following disclosure in 12-point bold font: "Annual Report filings may be filed directly with the Secretary of State for the statutory $25 fee".</w:t>
      </w:r>
    </w:p>
    <w:p w14:paraId="79531A2A" w14:textId="77777777" w:rsidR="000F7F6C" w:rsidRPr="004A0EED" w:rsidRDefault="000F7F6C" w:rsidP="00715E4E">
      <w:pPr>
        <w:pStyle w:val="SectionBody"/>
        <w:rPr>
          <w:color w:val="auto"/>
        </w:rPr>
      </w:pPr>
      <w:r w:rsidRPr="004A0EED">
        <w:rPr>
          <w:color w:val="auto"/>
        </w:rPr>
        <w:t>(p) Any person who violates subsection (o) of this section is guilty of a misdemeanor and, upon conviction thereof, shall be fined up to $1,000 for each noncompliant solicitation, or confined in jail for a period of up to one year, or both fined and confined.</w:t>
      </w:r>
    </w:p>
    <w:p w14:paraId="041FB406" w14:textId="77777777" w:rsidR="000F7F6C" w:rsidRPr="004A0EED" w:rsidRDefault="000F7F6C" w:rsidP="00715E4E">
      <w:pPr>
        <w:pStyle w:val="SectionBody"/>
        <w:rPr>
          <w:color w:val="auto"/>
        </w:rPr>
      </w:pPr>
      <w:r w:rsidRPr="004A0EED">
        <w:rPr>
          <w:color w:val="auto"/>
        </w:rPr>
        <w:t>(q) Any person harmed as a result of a violation of subsection (o) of this section may recover damages in an amount equal to three times the amount solicited, any associated court costs and attorneys’ fees, and any other damages, at the discretion of the court.</w:t>
      </w:r>
    </w:p>
    <w:p w14:paraId="1E60EC68" w14:textId="77777777" w:rsidR="000F7F6C" w:rsidRPr="004A0EED" w:rsidRDefault="000F7F6C" w:rsidP="00CC1F3B">
      <w:pPr>
        <w:pStyle w:val="SectionBody"/>
        <w:rPr>
          <w:color w:val="auto"/>
        </w:rPr>
        <w:sectPr w:rsidR="000F7F6C" w:rsidRPr="004A0EED" w:rsidSect="000F7F6C">
          <w:type w:val="continuous"/>
          <w:pgSz w:w="12240" w:h="15840" w:code="1"/>
          <w:pgMar w:top="1440" w:right="1440" w:bottom="1440" w:left="1440" w:header="720" w:footer="720" w:gutter="0"/>
          <w:lnNumType w:countBy="1" w:restart="newSection"/>
          <w:cols w:space="720"/>
          <w:titlePg/>
          <w:docGrid w:linePitch="360"/>
        </w:sectPr>
      </w:pPr>
    </w:p>
    <w:p w14:paraId="7B635DBE" w14:textId="77777777" w:rsidR="00C33014" w:rsidRPr="004A0EED" w:rsidRDefault="00C33014" w:rsidP="00CC1F3B">
      <w:pPr>
        <w:pStyle w:val="Note"/>
        <w:rPr>
          <w:color w:val="auto"/>
        </w:rPr>
      </w:pPr>
    </w:p>
    <w:p w14:paraId="2E102EF8" w14:textId="590348EA" w:rsidR="006865E9" w:rsidRPr="004A0EED" w:rsidRDefault="00CF1DCA" w:rsidP="00CC1F3B">
      <w:pPr>
        <w:pStyle w:val="Note"/>
        <w:rPr>
          <w:color w:val="auto"/>
        </w:rPr>
      </w:pPr>
      <w:r w:rsidRPr="004A0EED">
        <w:rPr>
          <w:color w:val="auto"/>
        </w:rPr>
        <w:t>NOTE: The</w:t>
      </w:r>
      <w:r w:rsidR="006865E9" w:rsidRPr="004A0EED">
        <w:rPr>
          <w:color w:val="auto"/>
        </w:rPr>
        <w:t xml:space="preserve"> purpose of this bill is to </w:t>
      </w:r>
      <w:r w:rsidR="00F01E86" w:rsidRPr="004A0EED">
        <w:rPr>
          <w:color w:val="auto"/>
        </w:rPr>
        <w:t>allow the Secretary of State to charge a fee of up to $5 plus any amount passed on by a financial institution for any returned or dishonored check, money order, or draft. This fee covers the administrative costs for handling the returned item. The bill allows the Secretary of State discretion to waive late fees under certain circumstances. The bill provides that the Secretary of State shall design and provide a veteran-owned logotype.</w:t>
      </w:r>
    </w:p>
    <w:p w14:paraId="3DE6BE21" w14:textId="77777777" w:rsidR="006865E9" w:rsidRPr="004A0EED" w:rsidRDefault="00AE48A0" w:rsidP="00CC1F3B">
      <w:pPr>
        <w:pStyle w:val="Note"/>
        <w:rPr>
          <w:color w:val="auto"/>
        </w:rPr>
      </w:pPr>
      <w:r w:rsidRPr="004A0EED">
        <w:rPr>
          <w:color w:val="auto"/>
        </w:rPr>
        <w:t>Strike-throughs indicate language that would be stricken from a heading or the present law and underscoring indicates new language that would be added.</w:t>
      </w:r>
    </w:p>
    <w:sectPr w:rsidR="006865E9" w:rsidRPr="004A0EED" w:rsidSect="000F7F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491C" w14:textId="77777777" w:rsidR="000F7F6C" w:rsidRPr="00B844FE" w:rsidRDefault="000F7F6C" w:rsidP="00B844FE">
      <w:r>
        <w:separator/>
      </w:r>
    </w:p>
  </w:endnote>
  <w:endnote w:type="continuationSeparator" w:id="0">
    <w:p w14:paraId="75BD079D" w14:textId="77777777" w:rsidR="000F7F6C" w:rsidRPr="00B844FE" w:rsidRDefault="000F7F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5AFA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B13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8E26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A2667" w14:textId="77777777" w:rsidR="000F7F6C" w:rsidRPr="00B844FE" w:rsidRDefault="000F7F6C" w:rsidP="00B844FE">
      <w:r>
        <w:separator/>
      </w:r>
    </w:p>
  </w:footnote>
  <w:footnote w:type="continuationSeparator" w:id="0">
    <w:p w14:paraId="0F10607C" w14:textId="77777777" w:rsidR="000F7F6C" w:rsidRPr="00B844FE" w:rsidRDefault="000F7F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22B3" w14:textId="77777777" w:rsidR="002A0269" w:rsidRPr="00B844FE" w:rsidRDefault="00F9681C">
    <w:pPr>
      <w:pStyle w:val="Header"/>
    </w:pPr>
    <w:sdt>
      <w:sdtPr>
        <w:id w:val="-684364211"/>
        <w:placeholder>
          <w:docPart w:val="89ECAA2A2D7941B4A281F28ABE691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ECAA2A2D7941B4A281F28ABE691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5E2F" w14:textId="6E5989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F7F6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7F6C">
          <w:rPr>
            <w:sz w:val="22"/>
            <w:szCs w:val="22"/>
          </w:rPr>
          <w:t>2026R3305</w:t>
        </w:r>
      </w:sdtContent>
    </w:sdt>
  </w:p>
  <w:p w14:paraId="36811D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BF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6C"/>
    <w:rsid w:val="0000526A"/>
    <w:rsid w:val="000573A9"/>
    <w:rsid w:val="00085D22"/>
    <w:rsid w:val="00093AB0"/>
    <w:rsid w:val="000C5C77"/>
    <w:rsid w:val="000E3912"/>
    <w:rsid w:val="000F7F6C"/>
    <w:rsid w:val="0010070F"/>
    <w:rsid w:val="0015112E"/>
    <w:rsid w:val="001552E7"/>
    <w:rsid w:val="001566B4"/>
    <w:rsid w:val="001A3E53"/>
    <w:rsid w:val="001A66B7"/>
    <w:rsid w:val="001C279E"/>
    <w:rsid w:val="001D459E"/>
    <w:rsid w:val="0020151F"/>
    <w:rsid w:val="00211F02"/>
    <w:rsid w:val="0022348D"/>
    <w:rsid w:val="00224CA1"/>
    <w:rsid w:val="0027011C"/>
    <w:rsid w:val="00274200"/>
    <w:rsid w:val="00275740"/>
    <w:rsid w:val="002A0269"/>
    <w:rsid w:val="00303684"/>
    <w:rsid w:val="003143F5"/>
    <w:rsid w:val="00314854"/>
    <w:rsid w:val="00394191"/>
    <w:rsid w:val="003C51CD"/>
    <w:rsid w:val="003C6034"/>
    <w:rsid w:val="00400B5C"/>
    <w:rsid w:val="00426672"/>
    <w:rsid w:val="004368E0"/>
    <w:rsid w:val="004671B0"/>
    <w:rsid w:val="00474351"/>
    <w:rsid w:val="004A0EED"/>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37995"/>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415E"/>
    <w:rsid w:val="00BC562B"/>
    <w:rsid w:val="00C04C43"/>
    <w:rsid w:val="00C33014"/>
    <w:rsid w:val="00C33434"/>
    <w:rsid w:val="00C34869"/>
    <w:rsid w:val="00C42EB6"/>
    <w:rsid w:val="00C62327"/>
    <w:rsid w:val="00C85096"/>
    <w:rsid w:val="00CB1005"/>
    <w:rsid w:val="00CB20EF"/>
    <w:rsid w:val="00CC1F3B"/>
    <w:rsid w:val="00CD12CB"/>
    <w:rsid w:val="00CD36CF"/>
    <w:rsid w:val="00CE11D4"/>
    <w:rsid w:val="00CF1DCA"/>
    <w:rsid w:val="00D474E6"/>
    <w:rsid w:val="00D579FC"/>
    <w:rsid w:val="00D81C16"/>
    <w:rsid w:val="00DE526B"/>
    <w:rsid w:val="00DF199D"/>
    <w:rsid w:val="00DF3313"/>
    <w:rsid w:val="00E01542"/>
    <w:rsid w:val="00E365F1"/>
    <w:rsid w:val="00E62F48"/>
    <w:rsid w:val="00E831B3"/>
    <w:rsid w:val="00E95FBC"/>
    <w:rsid w:val="00EC5E63"/>
    <w:rsid w:val="00EE70CB"/>
    <w:rsid w:val="00F01E86"/>
    <w:rsid w:val="00F41CA2"/>
    <w:rsid w:val="00F443C0"/>
    <w:rsid w:val="00F62EFB"/>
    <w:rsid w:val="00F939A4"/>
    <w:rsid w:val="00F9681C"/>
    <w:rsid w:val="00FA7B09"/>
    <w:rsid w:val="00FB23D7"/>
    <w:rsid w:val="00FC172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83F2"/>
  <w15:chartTrackingRefBased/>
  <w15:docId w15:val="{6AC592AD-3F13-4682-BD9F-B866FE9D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7F6C"/>
    <w:rPr>
      <w:rFonts w:eastAsia="Calibri"/>
      <w:b/>
      <w:caps/>
      <w:color w:val="000000"/>
      <w:sz w:val="24"/>
    </w:rPr>
  </w:style>
  <w:style w:type="character" w:customStyle="1" w:styleId="SectionBodyChar">
    <w:name w:val="Section Body Char"/>
    <w:link w:val="SectionBody"/>
    <w:rsid w:val="000F7F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107B5964E4A3F9787691DBCCC9051"/>
        <w:category>
          <w:name w:val="General"/>
          <w:gallery w:val="placeholder"/>
        </w:category>
        <w:types>
          <w:type w:val="bbPlcHdr"/>
        </w:types>
        <w:behaviors>
          <w:behavior w:val="content"/>
        </w:behaviors>
        <w:guid w:val="{30085597-7083-4222-9138-E8F64DEAE411}"/>
      </w:docPartPr>
      <w:docPartBody>
        <w:p w:rsidR="00C62897" w:rsidRDefault="00C62897">
          <w:pPr>
            <w:pStyle w:val="DA6107B5964E4A3F9787691DBCCC9051"/>
          </w:pPr>
          <w:r w:rsidRPr="00B844FE">
            <w:t>Prefix Text</w:t>
          </w:r>
        </w:p>
      </w:docPartBody>
    </w:docPart>
    <w:docPart>
      <w:docPartPr>
        <w:name w:val="89ECAA2A2D7941B4A281F28ABE69122C"/>
        <w:category>
          <w:name w:val="General"/>
          <w:gallery w:val="placeholder"/>
        </w:category>
        <w:types>
          <w:type w:val="bbPlcHdr"/>
        </w:types>
        <w:behaviors>
          <w:behavior w:val="content"/>
        </w:behaviors>
        <w:guid w:val="{8C612E30-743A-498D-A087-B062BDA811CA}"/>
      </w:docPartPr>
      <w:docPartBody>
        <w:p w:rsidR="00C62897" w:rsidRDefault="00C62897">
          <w:pPr>
            <w:pStyle w:val="89ECAA2A2D7941B4A281F28ABE69122C"/>
          </w:pPr>
          <w:r w:rsidRPr="00B844FE">
            <w:t>[Type here]</w:t>
          </w:r>
        </w:p>
      </w:docPartBody>
    </w:docPart>
    <w:docPart>
      <w:docPartPr>
        <w:name w:val="3695B8E63CAE40C3AE6A37F1A904274F"/>
        <w:category>
          <w:name w:val="General"/>
          <w:gallery w:val="placeholder"/>
        </w:category>
        <w:types>
          <w:type w:val="bbPlcHdr"/>
        </w:types>
        <w:behaviors>
          <w:behavior w:val="content"/>
        </w:behaviors>
        <w:guid w:val="{32D68462-EE6A-4088-9F3C-E6FB34C68F96}"/>
      </w:docPartPr>
      <w:docPartBody>
        <w:p w:rsidR="00C62897" w:rsidRDefault="00C62897">
          <w:pPr>
            <w:pStyle w:val="3695B8E63CAE40C3AE6A37F1A904274F"/>
          </w:pPr>
          <w:r w:rsidRPr="00B844FE">
            <w:t>Number</w:t>
          </w:r>
        </w:p>
      </w:docPartBody>
    </w:docPart>
    <w:docPart>
      <w:docPartPr>
        <w:name w:val="E33796AF340D45E18DBEB7AF84ABD426"/>
        <w:category>
          <w:name w:val="General"/>
          <w:gallery w:val="placeholder"/>
        </w:category>
        <w:types>
          <w:type w:val="bbPlcHdr"/>
        </w:types>
        <w:behaviors>
          <w:behavior w:val="content"/>
        </w:behaviors>
        <w:guid w:val="{B87D3AC9-0F6C-41A4-98A6-5318F95AAD01}"/>
      </w:docPartPr>
      <w:docPartBody>
        <w:p w:rsidR="00C62897" w:rsidRDefault="00C62897">
          <w:pPr>
            <w:pStyle w:val="E33796AF340D45E18DBEB7AF84ABD426"/>
          </w:pPr>
          <w:r w:rsidRPr="00B844FE">
            <w:t>Enter Sponsors Here</w:t>
          </w:r>
        </w:p>
      </w:docPartBody>
    </w:docPart>
    <w:docPart>
      <w:docPartPr>
        <w:name w:val="4D6A93A9195D44C7B107341976EE690A"/>
        <w:category>
          <w:name w:val="General"/>
          <w:gallery w:val="placeholder"/>
        </w:category>
        <w:types>
          <w:type w:val="bbPlcHdr"/>
        </w:types>
        <w:behaviors>
          <w:behavior w:val="content"/>
        </w:behaviors>
        <w:guid w:val="{D8B4844F-EF2D-4575-9257-9626E053DACB}"/>
      </w:docPartPr>
      <w:docPartBody>
        <w:p w:rsidR="00C62897" w:rsidRDefault="00C62897">
          <w:pPr>
            <w:pStyle w:val="4D6A93A9195D44C7B107341976EE6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97"/>
    <w:rsid w:val="001A3E53"/>
    <w:rsid w:val="00937995"/>
    <w:rsid w:val="00C62897"/>
    <w:rsid w:val="00CB1005"/>
    <w:rsid w:val="00CE11D4"/>
    <w:rsid w:val="00D474E6"/>
    <w:rsid w:val="00DF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6107B5964E4A3F9787691DBCCC9051">
    <w:name w:val="DA6107B5964E4A3F9787691DBCCC9051"/>
  </w:style>
  <w:style w:type="paragraph" w:customStyle="1" w:styleId="89ECAA2A2D7941B4A281F28ABE69122C">
    <w:name w:val="89ECAA2A2D7941B4A281F28ABE69122C"/>
  </w:style>
  <w:style w:type="paragraph" w:customStyle="1" w:styleId="3695B8E63CAE40C3AE6A37F1A904274F">
    <w:name w:val="3695B8E63CAE40C3AE6A37F1A904274F"/>
  </w:style>
  <w:style w:type="paragraph" w:customStyle="1" w:styleId="E33796AF340D45E18DBEB7AF84ABD426">
    <w:name w:val="E33796AF340D45E18DBEB7AF84ABD426"/>
  </w:style>
  <w:style w:type="character" w:styleId="PlaceholderText">
    <w:name w:val="Placeholder Text"/>
    <w:basedOn w:val="DefaultParagraphFont"/>
    <w:uiPriority w:val="99"/>
    <w:semiHidden/>
    <w:rPr>
      <w:color w:val="808080"/>
    </w:rPr>
  </w:style>
  <w:style w:type="paragraph" w:customStyle="1" w:styleId="4D6A93A9195D44C7B107341976EE690A">
    <w:name w:val="4D6A93A9195D44C7B107341976EE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2026-02-04T23:18:00Z</dcterms:created>
  <dcterms:modified xsi:type="dcterms:W3CDTF">2026-02-04T23:18:00Z</dcterms:modified>
</cp:coreProperties>
</file>